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7695AB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417FCA" w:rsidRPr="00417FCA">
        <w:rPr>
          <w:bCs/>
          <w:noProof w:val="0"/>
          <w:sz w:val="24"/>
          <w:szCs w:val="24"/>
        </w:rPr>
        <w:t>R2-1909312</w:t>
      </w:r>
    </w:p>
    <w:p w14:paraId="11776FA6" w14:textId="31F7FBF3"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 xml:space="preserve">Prague, </w:t>
      </w:r>
      <w:bookmarkStart w:id="0" w:name="_GoBack"/>
      <w:bookmarkEnd w:id="0"/>
      <w:r w:rsidRPr="00F036E9">
        <w:rPr>
          <w:rFonts w:eastAsia="SimSun"/>
          <w:bCs/>
          <w:sz w:val="24"/>
          <w:szCs w:val="24"/>
          <w:lang w:eastAsia="zh-CN"/>
        </w:rPr>
        <w:t>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F7980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740A" w:rsidRPr="005B740A">
        <w:rPr>
          <w:rFonts w:cs="Arial"/>
          <w:b/>
          <w:bCs/>
          <w:sz w:val="24"/>
          <w:lang w:eastAsia="ja-JP"/>
        </w:rPr>
        <w:t>12.3.3.3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A7A9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740A">
        <w:rPr>
          <w:rFonts w:ascii="Arial" w:hAnsi="Arial" w:cs="Arial"/>
          <w:b/>
          <w:bCs/>
          <w:sz w:val="24"/>
        </w:rPr>
        <w:t>UE capability coordination for DAPS</w:t>
      </w:r>
      <w:r w:rsidR="002B490B">
        <w:rPr>
          <w:rFonts w:ascii="Arial" w:hAnsi="Arial" w:cs="Arial"/>
          <w:b/>
          <w:bCs/>
          <w:sz w:val="24"/>
        </w:rPr>
        <w:t>-RUDI</w:t>
      </w:r>
      <w:r w:rsidR="00DC40D0">
        <w:rPr>
          <w:rFonts w:ascii="Arial" w:hAnsi="Arial" w:cs="Arial"/>
          <w:b/>
          <w:bCs/>
          <w:sz w:val="24"/>
        </w:rPr>
        <w:t xml:space="preserve"> handover</w:t>
      </w:r>
    </w:p>
    <w:p w14:paraId="1F147C23" w14:textId="0F41B4B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D4739">
        <w:rPr>
          <w:rFonts w:ascii="Arial" w:hAnsi="Arial" w:cs="Arial"/>
          <w:b/>
          <w:bCs/>
          <w:sz w:val="24"/>
        </w:rPr>
        <w:t>LTE_MobEnh-Core</w:t>
      </w:r>
      <w:r w:rsidRPr="00112F1A">
        <w:rPr>
          <w:rFonts w:ascii="Arial" w:hAnsi="Arial" w:cs="Arial"/>
          <w:b/>
          <w:bCs/>
          <w:sz w:val="24"/>
        </w:rPr>
        <w:t xml:space="preserve"> </w:t>
      </w:r>
      <w:r>
        <w:rPr>
          <w:rFonts w:ascii="Arial" w:hAnsi="Arial" w:cs="Arial"/>
          <w:b/>
          <w:bCs/>
          <w:sz w:val="24"/>
        </w:rPr>
        <w:t xml:space="preserve">- Release </w:t>
      </w:r>
      <w:r w:rsidR="00ED473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A8857A" w14:textId="00E5C46A" w:rsidR="005B740A" w:rsidRPr="005B740A" w:rsidRDefault="005B740A" w:rsidP="005B740A">
      <w:r>
        <w:t>When the agreement to int</w:t>
      </w:r>
      <w:r w:rsidR="00EE0664">
        <w:t>r</w:t>
      </w:r>
      <w:r>
        <w:t xml:space="preserve">oduce dual active protocol stack to reduce UE HO interruption time for LTE was made, it was also agreed </w:t>
      </w:r>
      <w:r w:rsidR="00EE0664">
        <w:t xml:space="preserve">to specify </w:t>
      </w:r>
      <w:r>
        <w:t>UE capability coordination</w:t>
      </w:r>
      <w:r w:rsidR="00EE0664">
        <w:t xml:space="preserve">. However,  it was specifically also left </w:t>
      </w:r>
      <w:r>
        <w:t xml:space="preserve">FFS </w:t>
      </w:r>
      <w:r w:rsidR="00EE0664">
        <w:t>as to how/whether we specify rules for UE when capability coordination is not utilized, and UE capabilities are exceeded due to this. Hence, i</w:t>
      </w:r>
      <w:r>
        <w:t xml:space="preserve">n this contribution we discuss </w:t>
      </w:r>
      <w:r w:rsidR="00EE0664">
        <w:t xml:space="preserve">how to resolve this FFS on </w:t>
      </w:r>
      <w:r>
        <w:t>the UE capability coordination.</w:t>
      </w:r>
    </w:p>
    <w:p w14:paraId="2BBFF540" w14:textId="1D7E361E" w:rsidR="00A209D6" w:rsidRPr="006E13D1" w:rsidRDefault="00A209D6" w:rsidP="00A209D6">
      <w:pPr>
        <w:pStyle w:val="Heading1"/>
      </w:pPr>
      <w:r w:rsidRPr="006E13D1">
        <w:t>2</w:t>
      </w:r>
      <w:r w:rsidRPr="006E13D1">
        <w:tab/>
      </w:r>
      <w:r w:rsidR="00D55861">
        <w:t>Capability coordination with DAPS-RUDI</w:t>
      </w:r>
      <w:r w:rsidR="00DC40D0">
        <w:t xml:space="preserve"> handover</w:t>
      </w:r>
    </w:p>
    <w:p w14:paraId="5F01C058" w14:textId="7D74F346" w:rsidR="00A209D6" w:rsidRPr="006E13D1" w:rsidRDefault="00EE0664" w:rsidP="00A209D6">
      <w:pPr>
        <w:pStyle w:val="Heading2"/>
      </w:pPr>
      <w:r>
        <w:t>2</w:t>
      </w:r>
      <w:r w:rsidR="00A209D6" w:rsidRPr="006E13D1">
        <w:t>.1</w:t>
      </w:r>
      <w:r w:rsidR="00A209D6" w:rsidRPr="006E13D1">
        <w:tab/>
      </w:r>
      <w:r>
        <w:t>Meaning of “UE capability coordination”</w:t>
      </w:r>
    </w:p>
    <w:p w14:paraId="4A954E25" w14:textId="02C31D4A" w:rsidR="00B82FF0" w:rsidRDefault="00EE0664" w:rsidP="00A209D6">
      <w:r>
        <w:t>To better understand what “</w:t>
      </w:r>
      <w:r w:rsidR="00B82FF0">
        <w:t xml:space="preserve">UE capability </w:t>
      </w:r>
      <w:r>
        <w:t>coordination” means</w:t>
      </w:r>
      <w:r w:rsidR="00B82FF0">
        <w:t xml:space="preserve"> in the context of RUDI</w:t>
      </w:r>
      <w:r>
        <w:t xml:space="preserve">, we have to </w:t>
      </w:r>
      <w:r w:rsidR="00B82FF0">
        <w:t>better consider its definition</w:t>
      </w:r>
      <w:r>
        <w:t xml:space="preserve">. In the context of DC, capability coordination has been thought to mean that both the source (MN) and target (SN) are aware of the UE capabilities </w:t>
      </w:r>
      <w:r w:rsidR="00B82FF0">
        <w:t>when determining their corresponding RRC configuration for the UE. For EN-DC, this is done so that the MN first indicates the restrictions it wishes on SN configuration, and SN then determines its configuration based on those. After receiving the SN configuration, MN can then either decide its configuration based on the SN configuration (although this is never required) or it just uses the UE capabilities based on the SN restrictions to determine its own configuration. However, there is never any “negotiation” in the capabilities – MN decides first, then SN decides based on that. That is also why MN is overall responsible for ensuring UE capabilities are not exceeded, and SN is responsible for ensuring it respects the MN-indicated capability restrictions.</w:t>
      </w:r>
    </w:p>
    <w:p w14:paraId="75758C17" w14:textId="3B72009C" w:rsidR="00A209D6" w:rsidRDefault="00A209D6" w:rsidP="00A209D6">
      <w:r w:rsidRPr="00B84DB2">
        <w:rPr>
          <w:b/>
        </w:rPr>
        <w:t>Observation 1:</w:t>
      </w:r>
      <w:r>
        <w:t xml:space="preserve"> </w:t>
      </w:r>
      <w:r w:rsidR="00B82FF0">
        <w:t>In EN-DC, capability “coordination” means that MN indicates UE capability restrictions to SN and SN complies with those.</w:t>
      </w:r>
    </w:p>
    <w:p w14:paraId="1592F53E" w14:textId="7C2011C8" w:rsidR="00B82FF0" w:rsidRDefault="00B82FF0" w:rsidP="00A209D6">
      <w:r>
        <w:t>Similar to EN-DC, it is up to source cell to decide whether to employ the RUDI feature, and source cell is also responsible for ensuring that the overall UE capabilities are not exceeded while it’s in control of the UE RRC configuration. However, to do that, it needs to understand which limitations are imposed on the target cell during the handover</w:t>
      </w:r>
      <w:r w:rsidR="00BD75ED">
        <w:t>. Therefore, we think these should be clearly captured in agreements to ensure the “coordination” is understood in the same way by all.</w:t>
      </w:r>
    </w:p>
    <w:p w14:paraId="60E20ACB" w14:textId="65567767" w:rsidR="00BD75ED" w:rsidRDefault="00A209D6" w:rsidP="00A209D6">
      <w:r w:rsidRPr="00BD75ED">
        <w:rPr>
          <w:b/>
        </w:rPr>
        <w:t>Proposal 1:</w:t>
      </w:r>
      <w:r>
        <w:t xml:space="preserve"> </w:t>
      </w:r>
      <w:r w:rsidR="00BD75ED">
        <w:t xml:space="preserve">Source cell determines whether RUDI is used and indicates this to target cell. </w:t>
      </w:r>
    </w:p>
    <w:p w14:paraId="56021D74" w14:textId="0834427B" w:rsidR="00A209D6" w:rsidRDefault="00BD75ED" w:rsidP="00A209D6">
      <w:r w:rsidRPr="00BD75ED">
        <w:rPr>
          <w:b/>
        </w:rPr>
        <w:t xml:space="preserve">Proposal 2: </w:t>
      </w:r>
      <w:r>
        <w:t>Target cell indicates to source cell what are the limitations with UE communication towards the UE during the RUDI handover.</w:t>
      </w:r>
    </w:p>
    <w:p w14:paraId="78ECCCA2" w14:textId="03968199" w:rsidR="00B82FF0" w:rsidRDefault="00B82FF0" w:rsidP="00B82FF0">
      <w:pPr>
        <w:pStyle w:val="Heading2"/>
      </w:pPr>
      <w:r>
        <w:t>2</w:t>
      </w:r>
      <w:r w:rsidRPr="006E13D1">
        <w:t>.</w:t>
      </w:r>
      <w:r w:rsidR="00181B20">
        <w:t>2</w:t>
      </w:r>
      <w:r w:rsidRPr="006E13D1">
        <w:tab/>
      </w:r>
      <w:r>
        <w:t>UE behaviour without capability coordination</w:t>
      </w:r>
      <w:r w:rsidR="00BD75ED">
        <w:t xml:space="preserve"> during RUDI HO</w:t>
      </w:r>
    </w:p>
    <w:p w14:paraId="240C2083" w14:textId="77777777" w:rsidR="00181B20" w:rsidRDefault="00BD75ED" w:rsidP="00B82FF0">
      <w:r>
        <w:t>Based on the definition of UE capability coordination, we now see that there are several interpretations as to what “no UE capability coordination” means</w:t>
      </w:r>
      <w:r w:rsidR="00D21BBB">
        <w:t xml:space="preserve">: Either source cell never indicates use of RUDI to target cell (in which case target cell can never indicate any limitations to source), or the target cell never indicates any limitations to UE even when source indicated RUDI procedure. </w:t>
      </w:r>
      <w:r w:rsidR="00181B20">
        <w:t>However, there is a difference in network behaviour with these two cases:</w:t>
      </w:r>
    </w:p>
    <w:p w14:paraId="24E21C2A" w14:textId="3E9A98C8" w:rsidR="00181B20" w:rsidRDefault="00181B20" w:rsidP="00181B20">
      <w:pPr>
        <w:pStyle w:val="B1"/>
      </w:pPr>
      <w:r>
        <w:lastRenderedPageBreak/>
        <w:t>1) If source cell indicates no RUDI to target, target cell has to assume this is a non-RUDI HO but source cell can still adapt its transmission/reception based on RUDI as long as UE is aware of the procedure. However, since the HO command is created by the target cell, UE will never be told to utilize RUDI</w:t>
      </w:r>
    </w:p>
    <w:p w14:paraId="2B14C436" w14:textId="27692E9A" w:rsidR="00181B20" w:rsidRDefault="00181B20" w:rsidP="00181B20">
      <w:pPr>
        <w:pStyle w:val="B1"/>
      </w:pPr>
      <w:r>
        <w:t>2) If source cell indicates RUDI to target but target does not indicate restrictions, the target cell can still utilize the restrictions during HO but source cannot utilize the information. There are thus at least four sub-cases:</w:t>
      </w:r>
    </w:p>
    <w:p w14:paraId="600F87CC" w14:textId="3BE51054" w:rsidR="00181B20" w:rsidRDefault="00181B20" w:rsidP="00181B20">
      <w:pPr>
        <w:pStyle w:val="B2"/>
      </w:pPr>
      <w:r>
        <w:t>a) Source cell doesn’t employ capability restrictions, but target cell does (based on some information on e.g. UE capabilities)</w:t>
      </w:r>
      <w:r w:rsidR="008C0B42">
        <w:t xml:space="preserve">. </w:t>
      </w:r>
    </w:p>
    <w:p w14:paraId="2816A311" w14:textId="3C4B5194" w:rsidR="00181B20" w:rsidRDefault="00181B20" w:rsidP="00181B20">
      <w:pPr>
        <w:pStyle w:val="B2"/>
      </w:pPr>
      <w:r>
        <w:t>b) Target cell doesn’t employ the capability restrictions, but source cell does (basd on usage of RUDI procedure)</w:t>
      </w:r>
    </w:p>
    <w:p w14:paraId="30855C08" w14:textId="1BBF378C" w:rsidR="00181B20" w:rsidRDefault="00181B20" w:rsidP="00181B20">
      <w:pPr>
        <w:pStyle w:val="B2"/>
      </w:pPr>
      <w:r>
        <w:t>c) Both source and target cell employ some sort of capability restrictions, but neither is aware of what the other does</w:t>
      </w:r>
    </w:p>
    <w:p w14:paraId="11C2B939" w14:textId="5E041901" w:rsidR="00181B20" w:rsidRDefault="00181B20" w:rsidP="00181B20">
      <w:pPr>
        <w:pStyle w:val="B2"/>
      </w:pPr>
      <w:r>
        <w:t>d) Neither the source nor target cell employ any form of capability restrictions during handover.</w:t>
      </w:r>
    </w:p>
    <w:p w14:paraId="42E28BFE" w14:textId="1CC3DC02" w:rsidR="00B82FF0" w:rsidRDefault="00181B20" w:rsidP="00B82FF0">
      <w:r>
        <w:t>Since the case 1) is not possible, then we can safely limit the discussion to 2) and consider the subcases in more details.</w:t>
      </w:r>
    </w:p>
    <w:p w14:paraId="338F5325" w14:textId="7C6C94C9" w:rsidR="008C0B42" w:rsidRDefault="008C0B42" w:rsidP="00B82FF0">
      <w:r>
        <w:t xml:space="preserve">Considering the sub-cases 2A-2D, we can note that the commonality with all cases is that there is no knowledge which capability restrictions (if any) are utilized. </w:t>
      </w:r>
      <w:r w:rsidR="00EC471F">
        <w:t xml:space="preserve">It would be possible to share some </w:t>
      </w:r>
      <w:r w:rsidR="003F7313">
        <w:t xml:space="preserve">information (e.g. “no coordination”) between source and target, e.g. so that </w:t>
      </w:r>
      <w:r w:rsidR="001D5C08">
        <w:t>unless source indicates coordination information, target will assume source doesn’t do coordination, and likewise with target.</w:t>
      </w:r>
    </w:p>
    <w:p w14:paraId="10EFEA4B" w14:textId="3DC1070B" w:rsidR="00EC471F" w:rsidRDefault="00EC471F" w:rsidP="00EC471F">
      <w:r w:rsidRPr="008C0B42">
        <w:rPr>
          <w:b/>
        </w:rPr>
        <w:t xml:space="preserve">Observation </w:t>
      </w:r>
      <w:r w:rsidR="0098500E">
        <w:rPr>
          <w:b/>
        </w:rPr>
        <w:t>2</w:t>
      </w:r>
      <w:r w:rsidRPr="008C0B42">
        <w:rPr>
          <w:b/>
        </w:rPr>
        <w:t>:</w:t>
      </w:r>
      <w:r>
        <w:t xml:space="preserve"> “No capability coordination” doesn’t necessarily mean </w:t>
      </w:r>
      <w:r w:rsidR="00FF4420">
        <w:t xml:space="preserve">no network </w:t>
      </w:r>
      <w:r>
        <w:t xml:space="preserve">information </w:t>
      </w:r>
      <w:r w:rsidR="00FF4420">
        <w:t xml:space="preserve">exchange </w:t>
      </w:r>
      <w:r w:rsidR="00A84EF0">
        <w:t xml:space="preserve">about usage of RUDI </w:t>
      </w:r>
      <w:r>
        <w:t>during the HO.</w:t>
      </w:r>
    </w:p>
    <w:p w14:paraId="7D636369" w14:textId="1BAABA9F" w:rsidR="009D0C24" w:rsidRDefault="009D0C24" w:rsidP="00EC471F">
      <w:r>
        <w:t>Since the source cell decides on the execution of RUDI, this should also be informed to target cell, which can then decide whether it wishes to accept the RUDI HO execution. To allow legacy eNB compatibility, by default the target cell is assumed not to allow RUDI (since that requires no actions from target cell). These should then be implemented also in X2AP and potentially also in S1AP.</w:t>
      </w:r>
    </w:p>
    <w:p w14:paraId="29B2843A" w14:textId="411F3928" w:rsidR="001D5C08" w:rsidRDefault="001D5C08" w:rsidP="00B82FF0">
      <w:r w:rsidRPr="001D5C08">
        <w:rPr>
          <w:b/>
        </w:rPr>
        <w:t xml:space="preserve">Proposal </w:t>
      </w:r>
      <w:r w:rsidR="00075DAC">
        <w:rPr>
          <w:b/>
        </w:rPr>
        <w:t>3</w:t>
      </w:r>
      <w:r w:rsidRPr="001D5C08">
        <w:rPr>
          <w:b/>
        </w:rPr>
        <w:t>:</w:t>
      </w:r>
      <w:r>
        <w:t xml:space="preserve"> Source can indicate to target whether it will limit the UE capabilities during RUDI handover.</w:t>
      </w:r>
    </w:p>
    <w:p w14:paraId="0CB82F01" w14:textId="71B371A8" w:rsidR="00EC471F" w:rsidRDefault="001D5C08" w:rsidP="00B82FF0">
      <w:r w:rsidRPr="001D5C08">
        <w:rPr>
          <w:b/>
        </w:rPr>
        <w:t xml:space="preserve">Proposal </w:t>
      </w:r>
      <w:r w:rsidR="00075DAC">
        <w:rPr>
          <w:b/>
        </w:rPr>
        <w:t>4</w:t>
      </w:r>
      <w:r w:rsidRPr="001D5C08">
        <w:rPr>
          <w:b/>
        </w:rPr>
        <w:t>:</w:t>
      </w:r>
      <w:r>
        <w:t xml:space="preserve"> Target can indicate to source whether it will limit the UE capabilities during RUDI handover.</w:t>
      </w:r>
    </w:p>
    <w:p w14:paraId="546B131E" w14:textId="3029D608" w:rsidR="009D0C24" w:rsidRDefault="009D0C24" w:rsidP="00B82FF0">
      <w:r w:rsidRPr="009D0C24">
        <w:rPr>
          <w:b/>
        </w:rPr>
        <w:t xml:space="preserve">Proposal </w:t>
      </w:r>
      <w:r w:rsidR="00075DAC">
        <w:rPr>
          <w:b/>
        </w:rPr>
        <w:t>5</w:t>
      </w:r>
      <w:r w:rsidRPr="009D0C24">
        <w:rPr>
          <w:b/>
        </w:rPr>
        <w:t>:</w:t>
      </w:r>
      <w:r>
        <w:t xml:space="preserve"> RAN2 to send LS to RAN3 to implement the following signalling: Source cell indication of RUDI handover and target cell acknowledgment of RUDI handover.</w:t>
      </w:r>
    </w:p>
    <w:p w14:paraId="0D36F04F" w14:textId="25136549" w:rsidR="001D5C08" w:rsidRDefault="001D5C08" w:rsidP="00B82FF0">
      <w:r>
        <w:t>However, since we so far assume this is the “no coordination” case, such an indication would only be a simple “yes/no” for the use of coordination. What still needs to be discussed is whether either source or target can infer something out of this, and what can be assumed from UE during the handover.</w:t>
      </w:r>
      <w:r w:rsidR="00ED11DA">
        <w:t xml:space="preserve"> Notably, the UE capabilities could be even exceeded if both source and target do not coordinate, which is normally something that is not allowed in RAN2.</w:t>
      </w:r>
    </w:p>
    <w:p w14:paraId="0593A81E" w14:textId="45AB7100" w:rsidR="001D5C08" w:rsidRDefault="001D5C08" w:rsidP="00B82FF0">
      <w:r w:rsidRPr="00ED11DA">
        <w:rPr>
          <w:b/>
        </w:rPr>
        <w:t xml:space="preserve">Observation </w:t>
      </w:r>
      <w:r w:rsidR="00075DAC">
        <w:rPr>
          <w:b/>
        </w:rPr>
        <w:t>3</w:t>
      </w:r>
      <w:r w:rsidRPr="00ED11DA">
        <w:rPr>
          <w:b/>
        </w:rPr>
        <w:t>:</w:t>
      </w:r>
      <w:r>
        <w:t xml:space="preserve"> It is not clear what UE is capable of </w:t>
      </w:r>
      <w:r w:rsidR="00ED11DA">
        <w:t>during the RUDI handover and what will happen if UE capabilities are exceeded.</w:t>
      </w:r>
    </w:p>
    <w:p w14:paraId="70911D50" w14:textId="77777777" w:rsidR="00ED11DA" w:rsidRDefault="00ED11DA" w:rsidP="00B82FF0">
      <w:r>
        <w:t>Therefore, it should at least be understood whether UE can have “limitations” in its capabilities during handover. We propose that either UE always triggers re-establishment if its capabilities are exceed, or RAN2 defines that e.g. target cell configuration is followed as priority.</w:t>
      </w:r>
    </w:p>
    <w:p w14:paraId="2A6C0229" w14:textId="1987351A" w:rsidR="00A72768" w:rsidRDefault="00ED11DA" w:rsidP="00B82FF0">
      <w:r w:rsidRPr="00ED11DA">
        <w:rPr>
          <w:b/>
        </w:rPr>
        <w:t xml:space="preserve">Proposal </w:t>
      </w:r>
      <w:r w:rsidR="00075DAC">
        <w:rPr>
          <w:b/>
        </w:rPr>
        <w:t>6</w:t>
      </w:r>
      <w:r w:rsidR="00A72768">
        <w:rPr>
          <w:b/>
        </w:rPr>
        <w:t xml:space="preserve">: </w:t>
      </w:r>
      <w:r w:rsidR="00A72768">
        <w:t xml:space="preserve">Adopt one or both of the following options for the case when UE capabilities are exceeded during RUDI HO: </w:t>
      </w:r>
    </w:p>
    <w:p w14:paraId="20158E6E" w14:textId="3EF1DEC9" w:rsidR="00ED11DA" w:rsidRDefault="00ED11DA" w:rsidP="00A72768">
      <w:pPr>
        <w:ind w:firstLine="284"/>
      </w:pPr>
      <w:r w:rsidRPr="00ED11DA">
        <w:rPr>
          <w:b/>
        </w:rPr>
        <w:t>a:</w:t>
      </w:r>
      <w:r>
        <w:t xml:space="preserve"> UE may </w:t>
      </w:r>
      <w:r w:rsidR="00A72768">
        <w:t xml:space="preserve">trigger </w:t>
      </w:r>
      <w:r>
        <w:t>RRC re-establishment.</w:t>
      </w:r>
    </w:p>
    <w:p w14:paraId="3E4226BF" w14:textId="5FFC915F" w:rsidR="00ED11DA" w:rsidRDefault="00ED11DA" w:rsidP="00A72768">
      <w:pPr>
        <w:ind w:firstLine="284"/>
      </w:pPr>
      <w:r w:rsidRPr="00ED11DA">
        <w:rPr>
          <w:b/>
        </w:rPr>
        <w:t>b:</w:t>
      </w:r>
      <w:r>
        <w:t xml:space="preserve"> UE may stop communication with source cell. </w:t>
      </w:r>
    </w:p>
    <w:p w14:paraId="4C7749D9" w14:textId="5203960F" w:rsidR="00EE6CF9" w:rsidRDefault="00EE6CF9" w:rsidP="00B82FF0">
      <w:r>
        <w:t>The overall signalling procedure of this is shown below in Figure 1.</w:t>
      </w:r>
    </w:p>
    <w:p w14:paraId="495E1CE6" w14:textId="6EA0A838" w:rsidR="00DD1CD0" w:rsidRDefault="00DD1CD0" w:rsidP="00DD1CD0">
      <w:pPr>
        <w:jc w:val="center"/>
      </w:pPr>
      <w:r>
        <w:object w:dxaOrig="6810" w:dyaOrig="4065" w14:anchorId="0FAA4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03.25pt" o:ole="">
            <v:imagedata r:id="rId13" o:title=""/>
          </v:shape>
          <o:OLEObject Type="Embed" ProgID="Mscgen.Chart" ShapeID="_x0000_i1025" DrawAspect="Content" ObjectID="_1627394834" r:id="rId14"/>
        </w:object>
      </w:r>
    </w:p>
    <w:p w14:paraId="24626654" w14:textId="37F068D3" w:rsidR="00DD1CD0" w:rsidRPr="00DD1CD0" w:rsidRDefault="00DD1CD0" w:rsidP="00DD1CD0">
      <w:pPr>
        <w:pStyle w:val="Caption"/>
        <w:jc w:val="center"/>
        <w:rPr>
          <w:b/>
        </w:rPr>
      </w:pPr>
      <w:r w:rsidRPr="00DD1CD0">
        <w:rPr>
          <w:b/>
        </w:rPr>
        <w:t xml:space="preserve">Figure </w:t>
      </w:r>
      <w:r w:rsidRPr="00DD1CD0">
        <w:rPr>
          <w:b/>
        </w:rPr>
        <w:fldChar w:fldCharType="begin"/>
      </w:r>
      <w:r w:rsidRPr="00DD1CD0">
        <w:rPr>
          <w:b/>
        </w:rPr>
        <w:instrText xml:space="preserve"> SEQ Figure \* ARABIC </w:instrText>
      </w:r>
      <w:r w:rsidRPr="00DD1CD0">
        <w:rPr>
          <w:b/>
        </w:rPr>
        <w:fldChar w:fldCharType="separate"/>
      </w:r>
      <w:r w:rsidRPr="00DD1CD0">
        <w:rPr>
          <w:b/>
          <w:noProof/>
        </w:rPr>
        <w:t>1</w:t>
      </w:r>
      <w:r w:rsidRPr="00DD1CD0">
        <w:rPr>
          <w:b/>
        </w:rPr>
        <w:fldChar w:fldCharType="end"/>
      </w:r>
      <w:r w:rsidRPr="00DD1CD0">
        <w:rPr>
          <w:b/>
        </w:rPr>
        <w:t>. Basic signalling flow of RUDI handover from network perspective</w:t>
      </w:r>
    </w:p>
    <w:p w14:paraId="50E5AAD6" w14:textId="6EF9677F" w:rsidR="00BD75ED" w:rsidRPr="006E13D1" w:rsidRDefault="00BD75ED" w:rsidP="00BD75ED">
      <w:pPr>
        <w:pStyle w:val="Heading2"/>
      </w:pPr>
      <w:r>
        <w:t>2</w:t>
      </w:r>
      <w:r w:rsidRPr="006E13D1">
        <w:t>.</w:t>
      </w:r>
      <w:r w:rsidR="00181B20">
        <w:t>3</w:t>
      </w:r>
      <w:r w:rsidRPr="006E13D1">
        <w:tab/>
      </w:r>
      <w:r>
        <w:t>Capability coordination during handover</w:t>
      </w:r>
      <w:r w:rsidRPr="006E13D1">
        <w:t xml:space="preserve"> </w:t>
      </w:r>
    </w:p>
    <w:p w14:paraId="48CDC8F6" w14:textId="77777777" w:rsidR="00C83E78" w:rsidRDefault="00181B20" w:rsidP="00C83E78">
      <w:r>
        <w:t>Since it was already agreed to specify capability coordination during RUDI-DAPS and we arelady discussed the ramifications of network not employing the capability coordination, the remaining question is what kind of coordination is specified</w:t>
      </w:r>
      <w:r w:rsidR="00C83E78">
        <w:t xml:space="preserve">:  The capability coordination should aim at preventing UE from exceeding its capabilities, but the most important aspect would be to complete the handover.  </w:t>
      </w:r>
    </w:p>
    <w:p w14:paraId="3C68948D" w14:textId="360A61DE" w:rsidR="00181B20" w:rsidRDefault="00C83E78" w:rsidP="00C83E78">
      <w:r>
        <w:t xml:space="preserve">While </w:t>
      </w:r>
      <w:r w:rsidR="00181B20">
        <w:t xml:space="preserve">it would be possible to reuse the </w:t>
      </w:r>
      <w:r w:rsidR="00181B20" w:rsidRPr="00C83E78">
        <w:rPr>
          <w:i/>
        </w:rPr>
        <w:t>featureSet</w:t>
      </w:r>
      <w:r w:rsidR="00181B20">
        <w:t xml:space="preserve"> concepts from EN-DC and NR, this would require also specifying different capabilities for source and target cells during handover, which would (likely) require new capability containers, which seems to be a big undertaking.</w:t>
      </w:r>
    </w:p>
    <w:p w14:paraId="4759442F" w14:textId="6E0AC146" w:rsidR="00EC471F" w:rsidRDefault="00EC471F" w:rsidP="00C83E78">
      <w:r w:rsidRPr="00EC471F">
        <w:rPr>
          <w:b/>
        </w:rPr>
        <w:t xml:space="preserve">Observation </w:t>
      </w:r>
      <w:r w:rsidR="00075DAC">
        <w:rPr>
          <w:b/>
        </w:rPr>
        <w:t>4</w:t>
      </w:r>
      <w:r w:rsidRPr="00EC471F">
        <w:rPr>
          <w:b/>
        </w:rPr>
        <w:t>:</w:t>
      </w:r>
      <w:r>
        <w:t xml:space="preserve"> Reusing </w:t>
      </w:r>
      <w:r w:rsidRPr="00350193">
        <w:rPr>
          <w:i/>
        </w:rPr>
        <w:t>featureSet</w:t>
      </w:r>
      <w:r>
        <w:t xml:space="preserve"> concept for RUDI would require large effort and potentially signalling an additional capability container only meant for UE capabilities during handover.</w:t>
      </w:r>
    </w:p>
    <w:p w14:paraId="472C5370" w14:textId="2F5E80FC" w:rsidR="000820F0" w:rsidRDefault="000820F0" w:rsidP="00C83E78">
      <w:r>
        <w:t xml:space="preserve">Therefore, someting simpler could be considered. One possibility would be to limit e.g. the </w:t>
      </w:r>
      <w:r w:rsidR="00350193">
        <w:t xml:space="preserve">maximum </w:t>
      </w:r>
      <w:r>
        <w:t xml:space="preserve">MIMO layers, </w:t>
      </w:r>
      <w:r w:rsidR="00350193">
        <w:t xml:space="preserve">maximum CCs, </w:t>
      </w:r>
      <w:r>
        <w:t>UE maximum data rate or UE category during the handover, and only require transmissions towards source and target PCell. If this is done, the simplest way seems to simply allow signalling a reduced UE category and</w:t>
      </w:r>
      <w:r w:rsidR="00350193">
        <w:t xml:space="preserve"> maximum number of CCs, which is the same as was done for the purpose of </w:t>
      </w:r>
      <w:r w:rsidR="00075DAC">
        <w:t xml:space="preserve">signalling assistance information for LTE </w:t>
      </w:r>
      <w:r w:rsidR="0098500E">
        <w:t>overheating cases</w:t>
      </w:r>
      <w:r>
        <w:t>.</w:t>
      </w:r>
      <w:r w:rsidR="00075DAC">
        <w:t xml:space="preserve"> The difference here is only that this would be a more static configuration, indicated in UE capabilities for the purpose of RUDI handover.</w:t>
      </w:r>
    </w:p>
    <w:p w14:paraId="3C0BB6EA" w14:textId="297D118E" w:rsidR="000820F0" w:rsidRDefault="000820F0" w:rsidP="00C83E78">
      <w:r w:rsidRPr="000820F0">
        <w:rPr>
          <w:b/>
        </w:rPr>
        <w:t xml:space="preserve">Proposal </w:t>
      </w:r>
      <w:r w:rsidR="00075DAC">
        <w:rPr>
          <w:b/>
        </w:rPr>
        <w:t>7</w:t>
      </w:r>
      <w:r w:rsidRPr="000820F0">
        <w:rPr>
          <w:b/>
        </w:rPr>
        <w:t>:</w:t>
      </w:r>
      <w:r>
        <w:t xml:space="preserve"> The RUDI capability coordination is done via </w:t>
      </w:r>
      <w:r w:rsidR="0098500E">
        <w:t xml:space="preserve">limiting the </w:t>
      </w:r>
      <w:r>
        <w:t xml:space="preserve">maximum </w:t>
      </w:r>
      <w:r w:rsidR="0098500E">
        <w:t>active CCs</w:t>
      </w:r>
      <w:r>
        <w:t xml:space="preserve"> towards source and target </w:t>
      </w:r>
      <w:r w:rsidR="0098500E">
        <w:t xml:space="preserve">and </w:t>
      </w:r>
      <w:r>
        <w:t>UE category.</w:t>
      </w:r>
    </w:p>
    <w:p w14:paraId="739C465C" w14:textId="1E8A6463" w:rsidR="00075DAC" w:rsidRDefault="00075DAC" w:rsidP="00C83E78">
      <w:r w:rsidRPr="00075DAC">
        <w:rPr>
          <w:b/>
        </w:rPr>
        <w:t xml:space="preserve">Proposal </w:t>
      </w:r>
      <w:r>
        <w:rPr>
          <w:b/>
        </w:rPr>
        <w:t>8</w:t>
      </w:r>
      <w:r w:rsidRPr="00075DAC">
        <w:rPr>
          <w:b/>
        </w:rPr>
        <w:t>:</w:t>
      </w:r>
      <w:r>
        <w:t xml:space="preserve"> The RUDI capability coordination parameters are conveyed using normal UE capabilities, i.e. UE indicates in its RUDI capabilities which UE category and number of CCs it can use during such handover.</w:t>
      </w:r>
    </w:p>
    <w:p w14:paraId="5FF2457F" w14:textId="76F4E332" w:rsidR="00A209D6" w:rsidRPr="006E13D1" w:rsidRDefault="00074615" w:rsidP="00A209D6">
      <w:pPr>
        <w:pStyle w:val="Heading1"/>
      </w:pPr>
      <w:r>
        <w:t>3</w:t>
      </w:r>
      <w:r w:rsidR="00A209D6" w:rsidRPr="006E13D1">
        <w:tab/>
      </w:r>
      <w:r w:rsidR="008C3057">
        <w:t>Conclusion</w:t>
      </w:r>
    </w:p>
    <w:p w14:paraId="6C60FFDC" w14:textId="14F91D8B" w:rsidR="00A209D6" w:rsidRDefault="00FF0824" w:rsidP="00A209D6">
      <w:r>
        <w:t>We have discussed how the capability coordination during the DAPS-RUDI handover is done, with the following observations and proposals:</w:t>
      </w:r>
    </w:p>
    <w:p w14:paraId="178A74A5" w14:textId="77777777" w:rsidR="00075DAC" w:rsidRDefault="00075DAC" w:rsidP="00075DAC">
      <w:r w:rsidRPr="00B84DB2">
        <w:rPr>
          <w:b/>
        </w:rPr>
        <w:t>Observation 1:</w:t>
      </w:r>
      <w:r>
        <w:t xml:space="preserve"> In EN-DC, capability “coordination” means that MN indicates UE capability restrictions to SN and SN complies with those.</w:t>
      </w:r>
    </w:p>
    <w:p w14:paraId="50F17768" w14:textId="77777777" w:rsidR="00075DAC" w:rsidRDefault="00075DAC" w:rsidP="00075DAC">
      <w:r w:rsidRPr="00ED11DA">
        <w:rPr>
          <w:b/>
        </w:rPr>
        <w:t>Observation 2:</w:t>
      </w:r>
      <w:r>
        <w:t xml:space="preserve"> It is not clear what UE is capable of during the RUDI handover and what will happen if UE capabilities are exceeded.</w:t>
      </w:r>
    </w:p>
    <w:p w14:paraId="24D4900B" w14:textId="62DDA63E" w:rsidR="00075DAC" w:rsidRDefault="00075DAC" w:rsidP="00075DAC">
      <w:r w:rsidRPr="008C0B42">
        <w:rPr>
          <w:b/>
        </w:rPr>
        <w:t xml:space="preserve">Observation </w:t>
      </w:r>
      <w:r>
        <w:rPr>
          <w:b/>
        </w:rPr>
        <w:t>3</w:t>
      </w:r>
      <w:r w:rsidRPr="008C0B42">
        <w:rPr>
          <w:b/>
        </w:rPr>
        <w:t>:</w:t>
      </w:r>
      <w:r>
        <w:t xml:space="preserve"> “No capability coordination” doesn’t necessarily mean no network information exchange about usage of RUDI during the HO.</w:t>
      </w:r>
    </w:p>
    <w:p w14:paraId="40575F33" w14:textId="5A102013" w:rsidR="00075DAC" w:rsidRDefault="00075DAC" w:rsidP="00075DAC">
      <w:r w:rsidRPr="00EC471F">
        <w:rPr>
          <w:b/>
        </w:rPr>
        <w:lastRenderedPageBreak/>
        <w:t xml:space="preserve">Observation </w:t>
      </w:r>
      <w:r>
        <w:rPr>
          <w:b/>
        </w:rPr>
        <w:t>4</w:t>
      </w:r>
      <w:r w:rsidRPr="00EC471F">
        <w:rPr>
          <w:b/>
        </w:rPr>
        <w:t>:</w:t>
      </w:r>
      <w:r>
        <w:t xml:space="preserve"> Reusing </w:t>
      </w:r>
      <w:r w:rsidRPr="00350193">
        <w:rPr>
          <w:i/>
        </w:rPr>
        <w:t>featureSet</w:t>
      </w:r>
      <w:r>
        <w:t xml:space="preserve"> concept for RUDI would require large effort and potentially signalling an additional capability container only meant for UE capabilities during handover.</w:t>
      </w:r>
    </w:p>
    <w:p w14:paraId="35A989C7" w14:textId="77777777" w:rsidR="00075DAC" w:rsidRDefault="00075DAC" w:rsidP="00075DAC">
      <w:r w:rsidRPr="00BD75ED">
        <w:rPr>
          <w:b/>
        </w:rPr>
        <w:t>Proposal 1:</w:t>
      </w:r>
      <w:r>
        <w:t xml:space="preserve"> Source cell determines whether RUDI is used and indicates this to target cell. </w:t>
      </w:r>
    </w:p>
    <w:p w14:paraId="441754BC" w14:textId="77777777" w:rsidR="00075DAC" w:rsidRDefault="00075DAC" w:rsidP="00075DAC">
      <w:r w:rsidRPr="00BD75ED">
        <w:rPr>
          <w:b/>
        </w:rPr>
        <w:t xml:space="preserve">Proposal 2: </w:t>
      </w:r>
      <w:r>
        <w:t>Target cell indicates to source cell what are the limitations with UE communication towards the UE during the RUDI handover.</w:t>
      </w:r>
    </w:p>
    <w:p w14:paraId="6AE1B601" w14:textId="63A53C0F" w:rsidR="00075DAC" w:rsidRDefault="00075DAC" w:rsidP="00075DAC">
      <w:r w:rsidRPr="001D5C08">
        <w:rPr>
          <w:b/>
        </w:rPr>
        <w:t xml:space="preserve">Proposal </w:t>
      </w:r>
      <w:r>
        <w:rPr>
          <w:b/>
        </w:rPr>
        <w:t>3</w:t>
      </w:r>
      <w:r w:rsidRPr="001D5C08">
        <w:rPr>
          <w:b/>
        </w:rPr>
        <w:t>:</w:t>
      </w:r>
      <w:r>
        <w:t xml:space="preserve"> Source can indicate to target whether it will limit the UE capabilities during RUDI handover.</w:t>
      </w:r>
    </w:p>
    <w:p w14:paraId="7010446A" w14:textId="2E2F240B" w:rsidR="00075DAC" w:rsidRDefault="00075DAC" w:rsidP="00075DAC">
      <w:r w:rsidRPr="001D5C08">
        <w:rPr>
          <w:b/>
        </w:rPr>
        <w:t xml:space="preserve">Proposal </w:t>
      </w:r>
      <w:r>
        <w:rPr>
          <w:b/>
        </w:rPr>
        <w:t>4</w:t>
      </w:r>
      <w:r w:rsidRPr="001D5C08">
        <w:rPr>
          <w:b/>
        </w:rPr>
        <w:t>:</w:t>
      </w:r>
      <w:r>
        <w:t xml:space="preserve"> Target can indicate to source whether it will limit the UE capabilities during RUDI handover.</w:t>
      </w:r>
    </w:p>
    <w:p w14:paraId="3B1D80AF" w14:textId="7F5BB305" w:rsidR="00075DAC" w:rsidRDefault="00075DAC" w:rsidP="00075DAC">
      <w:r w:rsidRPr="009D0C24">
        <w:rPr>
          <w:b/>
        </w:rPr>
        <w:t xml:space="preserve">Proposal </w:t>
      </w:r>
      <w:r>
        <w:rPr>
          <w:b/>
        </w:rPr>
        <w:t>5</w:t>
      </w:r>
      <w:r w:rsidRPr="009D0C24">
        <w:rPr>
          <w:b/>
        </w:rPr>
        <w:t>:</w:t>
      </w:r>
      <w:r>
        <w:t xml:space="preserve"> RAN2 to send LS to RAN3 to implement the following signalling: Source cell indication of RUDI handover and target cell acknowledgment of RUDI handover.</w:t>
      </w:r>
    </w:p>
    <w:p w14:paraId="33FD31CC" w14:textId="77777777" w:rsidR="00A72768" w:rsidRDefault="00A72768" w:rsidP="00A72768">
      <w:r w:rsidRPr="00ED11DA">
        <w:rPr>
          <w:b/>
        </w:rPr>
        <w:t xml:space="preserve">Proposal </w:t>
      </w:r>
      <w:r>
        <w:rPr>
          <w:b/>
        </w:rPr>
        <w:t xml:space="preserve">6: </w:t>
      </w:r>
      <w:r>
        <w:t xml:space="preserve">Adopt one or both of the following options for the case when UE capabilities are exceeded during RUDI HO: </w:t>
      </w:r>
    </w:p>
    <w:p w14:paraId="136C3521" w14:textId="77777777" w:rsidR="00A72768" w:rsidRDefault="00A72768" w:rsidP="00A72768">
      <w:pPr>
        <w:ind w:firstLine="284"/>
      </w:pPr>
      <w:r w:rsidRPr="00ED11DA">
        <w:rPr>
          <w:b/>
        </w:rPr>
        <w:t>a:</w:t>
      </w:r>
      <w:r>
        <w:t xml:space="preserve"> UE may trigger RRC re-establishment.</w:t>
      </w:r>
    </w:p>
    <w:p w14:paraId="393EFA8C" w14:textId="77777777" w:rsidR="00A72768" w:rsidRDefault="00A72768" w:rsidP="00A72768">
      <w:pPr>
        <w:ind w:firstLine="284"/>
      </w:pPr>
      <w:r w:rsidRPr="00ED11DA">
        <w:rPr>
          <w:b/>
        </w:rPr>
        <w:t>b:</w:t>
      </w:r>
      <w:r>
        <w:t xml:space="preserve"> UE may stop communication with source cell. </w:t>
      </w:r>
    </w:p>
    <w:p w14:paraId="2F513E51" w14:textId="0B4C65C2" w:rsidR="00075DAC" w:rsidRDefault="00075DAC" w:rsidP="00075DAC">
      <w:r w:rsidRPr="000820F0">
        <w:rPr>
          <w:b/>
        </w:rPr>
        <w:t xml:space="preserve">Proposal </w:t>
      </w:r>
      <w:r>
        <w:rPr>
          <w:b/>
        </w:rPr>
        <w:t>7</w:t>
      </w:r>
      <w:r w:rsidRPr="000820F0">
        <w:rPr>
          <w:b/>
        </w:rPr>
        <w:t>:</w:t>
      </w:r>
      <w:r>
        <w:t xml:space="preserve"> The RUDI capability coordination is done via limiting the maximum active CCs towards source and target and UE category.</w:t>
      </w:r>
    </w:p>
    <w:p w14:paraId="5AD0709B" w14:textId="4B7633D7" w:rsidR="00075DAC" w:rsidRDefault="00075DAC" w:rsidP="00075DAC">
      <w:r w:rsidRPr="00075DAC">
        <w:rPr>
          <w:b/>
        </w:rPr>
        <w:t xml:space="preserve">Proposal </w:t>
      </w:r>
      <w:r>
        <w:rPr>
          <w:b/>
        </w:rPr>
        <w:t>8</w:t>
      </w:r>
      <w:r w:rsidRPr="00075DAC">
        <w:rPr>
          <w:b/>
        </w:rPr>
        <w:t>:</w:t>
      </w:r>
      <w:r>
        <w:t xml:space="preserve"> The RUDI capability coordination parameters are conveyed using normal UE capabilities, i.e. UE indicates in its RUDI capabilities which UE category and number of CCs it can use during such handover.</w:t>
      </w:r>
    </w:p>
    <w:p w14:paraId="277018FF" w14:textId="77777777" w:rsidR="00075DAC" w:rsidRPr="006E13D1" w:rsidRDefault="00075DAC"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D889" w14:textId="77777777" w:rsidR="005C6B75" w:rsidRDefault="005C6B75">
      <w:r>
        <w:separator/>
      </w:r>
    </w:p>
  </w:endnote>
  <w:endnote w:type="continuationSeparator" w:id="0">
    <w:p w14:paraId="0A2BBCBE" w14:textId="77777777" w:rsidR="005C6B75" w:rsidRDefault="005C6B75">
      <w:r>
        <w:continuationSeparator/>
      </w:r>
    </w:p>
  </w:endnote>
  <w:endnote w:type="continuationNotice" w:id="1">
    <w:p w14:paraId="20C80C47" w14:textId="77777777" w:rsidR="005C6B75" w:rsidRDefault="005C6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282F6" w14:textId="77777777" w:rsidR="005C6B75" w:rsidRDefault="005C6B75">
      <w:r>
        <w:separator/>
      </w:r>
    </w:p>
  </w:footnote>
  <w:footnote w:type="continuationSeparator" w:id="0">
    <w:p w14:paraId="6351B041" w14:textId="77777777" w:rsidR="005C6B75" w:rsidRDefault="005C6B75">
      <w:r>
        <w:continuationSeparator/>
      </w:r>
    </w:p>
  </w:footnote>
  <w:footnote w:type="continuationNotice" w:id="1">
    <w:p w14:paraId="6BAA06F1" w14:textId="77777777" w:rsidR="005C6B75" w:rsidRDefault="005C6B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CD2ABD"/>
    <w:multiLevelType w:val="hybridMultilevel"/>
    <w:tmpl w:val="1830494A"/>
    <w:lvl w:ilvl="0" w:tplc="3676BEB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DF7896"/>
    <w:multiLevelType w:val="multilevel"/>
    <w:tmpl w:val="BD4A4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74615"/>
    <w:rsid w:val="00075DAC"/>
    <w:rsid w:val="00080512"/>
    <w:rsid w:val="000820F0"/>
    <w:rsid w:val="00090468"/>
    <w:rsid w:val="00094568"/>
    <w:rsid w:val="000B7BCF"/>
    <w:rsid w:val="000C522B"/>
    <w:rsid w:val="000D58AB"/>
    <w:rsid w:val="00112F1A"/>
    <w:rsid w:val="00145075"/>
    <w:rsid w:val="001741A0"/>
    <w:rsid w:val="00175FA0"/>
    <w:rsid w:val="00181B20"/>
    <w:rsid w:val="00194CD0"/>
    <w:rsid w:val="001B49C9"/>
    <w:rsid w:val="001C23F4"/>
    <w:rsid w:val="001C4F79"/>
    <w:rsid w:val="001D5C08"/>
    <w:rsid w:val="001F168B"/>
    <w:rsid w:val="001F7831"/>
    <w:rsid w:val="00204045"/>
    <w:rsid w:val="0020712B"/>
    <w:rsid w:val="0022606D"/>
    <w:rsid w:val="00231728"/>
    <w:rsid w:val="00243EB4"/>
    <w:rsid w:val="00250404"/>
    <w:rsid w:val="002610D8"/>
    <w:rsid w:val="002747EC"/>
    <w:rsid w:val="002855BF"/>
    <w:rsid w:val="002B490B"/>
    <w:rsid w:val="002F0D22"/>
    <w:rsid w:val="003172DC"/>
    <w:rsid w:val="00325126"/>
    <w:rsid w:val="00325AE3"/>
    <w:rsid w:val="00326069"/>
    <w:rsid w:val="00350193"/>
    <w:rsid w:val="0035462D"/>
    <w:rsid w:val="00356D68"/>
    <w:rsid w:val="00364B41"/>
    <w:rsid w:val="00383096"/>
    <w:rsid w:val="003A41EF"/>
    <w:rsid w:val="003B40AD"/>
    <w:rsid w:val="003C4E37"/>
    <w:rsid w:val="003E16BE"/>
    <w:rsid w:val="003F4E28"/>
    <w:rsid w:val="003F7313"/>
    <w:rsid w:val="004006E8"/>
    <w:rsid w:val="00401855"/>
    <w:rsid w:val="00417FCA"/>
    <w:rsid w:val="00463D53"/>
    <w:rsid w:val="00465587"/>
    <w:rsid w:val="004703E9"/>
    <w:rsid w:val="00477455"/>
    <w:rsid w:val="004A1F7B"/>
    <w:rsid w:val="004C44D2"/>
    <w:rsid w:val="004D3578"/>
    <w:rsid w:val="004D380D"/>
    <w:rsid w:val="004E213A"/>
    <w:rsid w:val="004F6203"/>
    <w:rsid w:val="00503171"/>
    <w:rsid w:val="00506C28"/>
    <w:rsid w:val="00534DA0"/>
    <w:rsid w:val="00537175"/>
    <w:rsid w:val="00543E6C"/>
    <w:rsid w:val="00565087"/>
    <w:rsid w:val="0056573F"/>
    <w:rsid w:val="005B740A"/>
    <w:rsid w:val="005C6B75"/>
    <w:rsid w:val="00611566"/>
    <w:rsid w:val="00646D99"/>
    <w:rsid w:val="00656910"/>
    <w:rsid w:val="006C66D8"/>
    <w:rsid w:val="006D1E24"/>
    <w:rsid w:val="006E1417"/>
    <w:rsid w:val="006F6A2C"/>
    <w:rsid w:val="007069DC"/>
    <w:rsid w:val="00710201"/>
    <w:rsid w:val="0072073A"/>
    <w:rsid w:val="007342B5"/>
    <w:rsid w:val="00734A5B"/>
    <w:rsid w:val="00744E76"/>
    <w:rsid w:val="00757D40"/>
    <w:rsid w:val="00773A5C"/>
    <w:rsid w:val="00781F0F"/>
    <w:rsid w:val="0078727C"/>
    <w:rsid w:val="0079049D"/>
    <w:rsid w:val="00793DC5"/>
    <w:rsid w:val="007B18D8"/>
    <w:rsid w:val="007C095F"/>
    <w:rsid w:val="007C2DD0"/>
    <w:rsid w:val="007F2E08"/>
    <w:rsid w:val="008028A4"/>
    <w:rsid w:val="00813245"/>
    <w:rsid w:val="0086354A"/>
    <w:rsid w:val="008768CA"/>
    <w:rsid w:val="00877EF9"/>
    <w:rsid w:val="00880559"/>
    <w:rsid w:val="008B5306"/>
    <w:rsid w:val="008C0B42"/>
    <w:rsid w:val="008C3057"/>
    <w:rsid w:val="008D2E4D"/>
    <w:rsid w:val="008E07E3"/>
    <w:rsid w:val="008F396F"/>
    <w:rsid w:val="0090271F"/>
    <w:rsid w:val="00902DB9"/>
    <w:rsid w:val="0090466A"/>
    <w:rsid w:val="00923655"/>
    <w:rsid w:val="00936071"/>
    <w:rsid w:val="00940212"/>
    <w:rsid w:val="00942EC2"/>
    <w:rsid w:val="00961B32"/>
    <w:rsid w:val="00962509"/>
    <w:rsid w:val="00970DB3"/>
    <w:rsid w:val="00974BB0"/>
    <w:rsid w:val="00975BCD"/>
    <w:rsid w:val="0098500E"/>
    <w:rsid w:val="009A0AF3"/>
    <w:rsid w:val="009B07CD"/>
    <w:rsid w:val="009C19E9"/>
    <w:rsid w:val="009D083A"/>
    <w:rsid w:val="009D0C24"/>
    <w:rsid w:val="009D74A6"/>
    <w:rsid w:val="00A10F02"/>
    <w:rsid w:val="00A204CA"/>
    <w:rsid w:val="00A209D6"/>
    <w:rsid w:val="00A53724"/>
    <w:rsid w:val="00A54B2B"/>
    <w:rsid w:val="00A72768"/>
    <w:rsid w:val="00A82346"/>
    <w:rsid w:val="00A84EF0"/>
    <w:rsid w:val="00A9671C"/>
    <w:rsid w:val="00AA1553"/>
    <w:rsid w:val="00AF3F94"/>
    <w:rsid w:val="00B05380"/>
    <w:rsid w:val="00B05962"/>
    <w:rsid w:val="00B15449"/>
    <w:rsid w:val="00B16C2F"/>
    <w:rsid w:val="00B27303"/>
    <w:rsid w:val="00B47FD1"/>
    <w:rsid w:val="00B516BB"/>
    <w:rsid w:val="00B82109"/>
    <w:rsid w:val="00B82FF0"/>
    <w:rsid w:val="00B84DB2"/>
    <w:rsid w:val="00BC3555"/>
    <w:rsid w:val="00BD75ED"/>
    <w:rsid w:val="00C12B51"/>
    <w:rsid w:val="00C24650"/>
    <w:rsid w:val="00C25465"/>
    <w:rsid w:val="00C33079"/>
    <w:rsid w:val="00C83A13"/>
    <w:rsid w:val="00C83E78"/>
    <w:rsid w:val="00C9068C"/>
    <w:rsid w:val="00C92967"/>
    <w:rsid w:val="00CA3D0C"/>
    <w:rsid w:val="00CA654B"/>
    <w:rsid w:val="00CB72B8"/>
    <w:rsid w:val="00CD4C7B"/>
    <w:rsid w:val="00D21BBB"/>
    <w:rsid w:val="00D33BE3"/>
    <w:rsid w:val="00D3792D"/>
    <w:rsid w:val="00D52A3C"/>
    <w:rsid w:val="00D55861"/>
    <w:rsid w:val="00D55E47"/>
    <w:rsid w:val="00D62E19"/>
    <w:rsid w:val="00D6307F"/>
    <w:rsid w:val="00D67CD1"/>
    <w:rsid w:val="00D738D6"/>
    <w:rsid w:val="00D80795"/>
    <w:rsid w:val="00D854BE"/>
    <w:rsid w:val="00D87E00"/>
    <w:rsid w:val="00D9134D"/>
    <w:rsid w:val="00D919B2"/>
    <w:rsid w:val="00D96D11"/>
    <w:rsid w:val="00DA7A03"/>
    <w:rsid w:val="00DB0DB8"/>
    <w:rsid w:val="00DB1818"/>
    <w:rsid w:val="00DC309B"/>
    <w:rsid w:val="00DC40D0"/>
    <w:rsid w:val="00DC4DA2"/>
    <w:rsid w:val="00DC5261"/>
    <w:rsid w:val="00DD1CD0"/>
    <w:rsid w:val="00DE25D2"/>
    <w:rsid w:val="00E46C08"/>
    <w:rsid w:val="00E471CF"/>
    <w:rsid w:val="00E62835"/>
    <w:rsid w:val="00E77645"/>
    <w:rsid w:val="00E83697"/>
    <w:rsid w:val="00EA66C9"/>
    <w:rsid w:val="00EC471F"/>
    <w:rsid w:val="00EC4A25"/>
    <w:rsid w:val="00ED11DA"/>
    <w:rsid w:val="00ED4739"/>
    <w:rsid w:val="00EE0664"/>
    <w:rsid w:val="00EE6CF9"/>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00FF0824"/>
    <w:rsid w:val="00FF4420"/>
    <w:rsid w:val="72B84E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NormalWeb">
    <w:name w:val="Normal (Web)"/>
    <w:basedOn w:val="Normal"/>
    <w:uiPriority w:val="99"/>
    <w:unhideWhenUsed/>
    <w:rsid w:val="005B740A"/>
    <w:pPr>
      <w:spacing w:before="100" w:beforeAutospacing="1" w:after="100" w:afterAutospacing="1"/>
    </w:pPr>
    <w:rPr>
      <w:rFonts w:eastAsiaTheme="minorEastAsia"/>
      <w:sz w:val="24"/>
      <w:szCs w:val="24"/>
      <w:lang w:val="de-DE" w:eastAsia="de-DE"/>
    </w:rPr>
  </w:style>
  <w:style w:type="paragraph" w:customStyle="1" w:styleId="B">
    <w:name w:val="B&quot;"/>
    <w:basedOn w:val="B1"/>
    <w:qFormat/>
    <w:rsid w:val="00181B20"/>
  </w:style>
  <w:style w:type="paragraph" w:styleId="ListParagraph">
    <w:name w:val="List Paragraph"/>
    <w:basedOn w:val="Normal"/>
    <w:uiPriority w:val="34"/>
    <w:qFormat/>
    <w:rsid w:val="00C83E78"/>
    <w:pPr>
      <w:ind w:left="720"/>
      <w:contextualSpacing/>
    </w:pPr>
  </w:style>
  <w:style w:type="paragraph" w:styleId="Caption">
    <w:name w:val="caption"/>
    <w:basedOn w:val="Normal"/>
    <w:next w:val="Normal"/>
    <w:unhideWhenUsed/>
    <w:qFormat/>
    <w:rsid w:val="00DD1CD0"/>
    <w:pPr>
      <w:spacing w:after="200"/>
    </w:pPr>
    <w:rPr>
      <w:i/>
      <w:iCs/>
      <w:color w:val="44546A" w:themeColor="text2"/>
      <w:sz w:val="18"/>
      <w:szCs w:val="18"/>
    </w:rPr>
  </w:style>
  <w:style w:type="paragraph" w:styleId="CommentText">
    <w:name w:val="annotation text"/>
    <w:basedOn w:val="Normal"/>
    <w:link w:val="CommentTextChar"/>
    <w:rsid w:val="00243EB4"/>
  </w:style>
  <w:style w:type="character" w:customStyle="1" w:styleId="CommentTextChar">
    <w:name w:val="Comment Text Char"/>
    <w:basedOn w:val="DefaultParagraphFont"/>
    <w:link w:val="CommentText"/>
    <w:rsid w:val="00243EB4"/>
    <w:rPr>
      <w:lang w:eastAsia="en-US"/>
    </w:rPr>
  </w:style>
  <w:style w:type="character" w:styleId="CommentReference">
    <w:name w:val="annotation reference"/>
    <w:basedOn w:val="DefaultParagraphFont"/>
    <w:rsid w:val="00243EB4"/>
    <w:rPr>
      <w:sz w:val="16"/>
      <w:szCs w:val="16"/>
    </w:rPr>
  </w:style>
  <w:style w:type="paragraph" w:styleId="CommentSubject">
    <w:name w:val="annotation subject"/>
    <w:basedOn w:val="CommentText"/>
    <w:next w:val="CommentText"/>
    <w:link w:val="CommentSubjectChar"/>
    <w:rsid w:val="00773A5C"/>
    <w:rPr>
      <w:b/>
      <w:bCs/>
    </w:rPr>
  </w:style>
  <w:style w:type="character" w:customStyle="1" w:styleId="CommentSubjectChar">
    <w:name w:val="Comment Subject Char"/>
    <w:basedOn w:val="CommentTextChar"/>
    <w:link w:val="CommentSubject"/>
    <w:rsid w:val="00773A5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5AIRPNAIUNRU-859666464-5300</_dlc_DocId>
    <_dlc_DocIdUrl xmlns="71c5aaf6-e6ce-465b-b873-5148d2a4c105">
      <Url>https://nokia.sharepoint.com/sites/c5g/e2earch/_layouts/15/DocIdRedir.aspx?ID=5AIRPNAIUNRU-859666464-5300</Url>
      <Description>5AIRPNAIUNRU-859666464-5300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E323C55-629E-4C2C-A722-1FF1D7B13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173</TotalTime>
  <Pages>4</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22</cp:revision>
  <dcterms:created xsi:type="dcterms:W3CDTF">2019-08-05T08:00:00Z</dcterms:created>
  <dcterms:modified xsi:type="dcterms:W3CDTF">2019-08-15T14:14:00Z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65865385-3af5-42d6-8620-e234d49967e7</vt:lpwstr>
  </property>
</Properties>
</file>